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20E7" w14:textId="77777777" w:rsidR="004E1C35" w:rsidRDefault="004E1C35"/>
    <w:p w14:paraId="3BD844EE" w14:textId="77777777" w:rsidR="001D013F" w:rsidRPr="001D013F" w:rsidRDefault="003D34E4" w:rsidP="001D013F">
      <w:pPr>
        <w:jc w:val="center"/>
        <w:rPr>
          <w:rFonts w:asciiTheme="majorHAnsi" w:hAnsiTheme="majorHAnsi" w:cstheme="majorHAnsi"/>
          <w:b/>
          <w:bCs/>
          <w:sz w:val="32"/>
          <w:szCs w:val="32"/>
        </w:rPr>
      </w:pPr>
      <w:r w:rsidRPr="001D013F">
        <w:rPr>
          <w:rFonts w:asciiTheme="majorHAnsi" w:hAnsiTheme="majorHAnsi" w:cstheme="majorHAnsi"/>
          <w:b/>
          <w:bCs/>
          <w:sz w:val="32"/>
          <w:szCs w:val="32"/>
        </w:rPr>
        <w:t xml:space="preserve">Beechfield Education </w:t>
      </w:r>
    </w:p>
    <w:p w14:paraId="1DD80E3E" w14:textId="288271D2" w:rsidR="004E1C35" w:rsidRPr="001D013F" w:rsidRDefault="003D34E4" w:rsidP="001D013F">
      <w:pPr>
        <w:jc w:val="center"/>
        <w:rPr>
          <w:rFonts w:asciiTheme="majorHAnsi" w:hAnsiTheme="majorHAnsi" w:cstheme="majorHAnsi"/>
          <w:b/>
          <w:bCs/>
          <w:sz w:val="32"/>
          <w:szCs w:val="32"/>
        </w:rPr>
      </w:pPr>
      <w:r w:rsidRPr="001D013F">
        <w:rPr>
          <w:rFonts w:asciiTheme="majorHAnsi" w:hAnsiTheme="majorHAnsi" w:cstheme="majorHAnsi"/>
          <w:b/>
          <w:bCs/>
          <w:sz w:val="32"/>
          <w:szCs w:val="32"/>
        </w:rPr>
        <w:t>Governance Policy</w:t>
      </w:r>
      <w:r w:rsidR="001D013F" w:rsidRPr="001D013F">
        <w:rPr>
          <w:rFonts w:asciiTheme="majorHAnsi" w:hAnsiTheme="majorHAnsi" w:cstheme="majorHAnsi"/>
          <w:b/>
          <w:bCs/>
          <w:sz w:val="32"/>
          <w:szCs w:val="32"/>
        </w:rPr>
        <w:t xml:space="preserve"> 2026</w:t>
      </w:r>
    </w:p>
    <w:p w14:paraId="765DC71E" w14:textId="77777777" w:rsidR="001D013F" w:rsidRPr="001D013F" w:rsidRDefault="001D013F" w:rsidP="001D013F">
      <w:pPr>
        <w:jc w:val="center"/>
        <w:rPr>
          <w:rFonts w:asciiTheme="majorHAnsi" w:hAnsiTheme="majorHAnsi" w:cstheme="majorHAnsi"/>
          <w:sz w:val="28"/>
          <w:szCs w:val="28"/>
        </w:rPr>
      </w:pPr>
    </w:p>
    <w:p w14:paraId="04A72F94" w14:textId="77777777" w:rsidR="004E1C35" w:rsidRPr="001D013F" w:rsidRDefault="004E1C35">
      <w:pPr>
        <w:rPr>
          <w:rFonts w:asciiTheme="majorHAnsi" w:hAnsiTheme="majorHAnsi" w:cstheme="majorHAnsi"/>
          <w:sz w:val="28"/>
          <w:szCs w:val="28"/>
        </w:rPr>
      </w:pPr>
    </w:p>
    <w:p w14:paraId="1CD8E615"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1. Purpose of the Governance Framework</w:t>
      </w:r>
    </w:p>
    <w:p w14:paraId="47FF78A3"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The purpose of this governance policy is to ensure that Beechfield Education maintains high standards of leadership, accountability, evaluation, and continuous school improvement across all settings. The model is designed to provide rigorous external challenge, clear lines of accountability, and a collaborative culture of school development.</w:t>
      </w:r>
    </w:p>
    <w:p w14:paraId="2EC3EA38" w14:textId="77777777" w:rsidR="004E1C35" w:rsidRPr="001D013F" w:rsidRDefault="004E1C35">
      <w:pPr>
        <w:rPr>
          <w:rFonts w:asciiTheme="majorHAnsi" w:hAnsiTheme="majorHAnsi" w:cstheme="majorHAnsi"/>
          <w:sz w:val="28"/>
          <w:szCs w:val="28"/>
        </w:rPr>
      </w:pPr>
    </w:p>
    <w:p w14:paraId="2CFD3A7D"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2. Governance Structure</w:t>
      </w:r>
    </w:p>
    <w:p w14:paraId="32383516" w14:textId="052D8442"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Beechfield Education is led by two Managing Directors, who are responsible for the strategic leadership, quality assurance, and operational oversight of all schools within the organisation.</w:t>
      </w:r>
    </w:p>
    <w:p w14:paraId="3159651C"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The governance structure includes:</w:t>
      </w:r>
    </w:p>
    <w:p w14:paraId="4D88AE06"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Managing Directors</w:t>
      </w:r>
    </w:p>
    <w:p w14:paraId="0F8907A1"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lastRenderedPageBreak/>
        <w:t>- Critical Friends (external experts)</w:t>
      </w:r>
    </w:p>
    <w:p w14:paraId="16F67119"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Senior Leadership Teams (SLT)</w:t>
      </w:r>
    </w:p>
    <w:p w14:paraId="075D9C1C"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Headteachers</w:t>
      </w:r>
    </w:p>
    <w:p w14:paraId="2D3A9159"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Parent Representative (“Parent Voice”)</w:t>
      </w:r>
    </w:p>
    <w:p w14:paraId="3AE6DF7F"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Registered Ofsted Inspector providing external review</w:t>
      </w:r>
    </w:p>
    <w:p w14:paraId="4618CEA6" w14:textId="77777777" w:rsidR="004E1C35" w:rsidRPr="001D013F" w:rsidRDefault="004E1C35">
      <w:pPr>
        <w:rPr>
          <w:rFonts w:asciiTheme="majorHAnsi" w:hAnsiTheme="majorHAnsi" w:cstheme="majorHAnsi"/>
          <w:sz w:val="28"/>
          <w:szCs w:val="28"/>
        </w:rPr>
      </w:pPr>
    </w:p>
    <w:p w14:paraId="40BC8308"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3. Role of the Managing Directors</w:t>
      </w:r>
    </w:p>
    <w:p w14:paraId="1AFBA3BF"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The Managing Directors hold overarching responsibility for:</w:t>
      </w:r>
    </w:p>
    <w:p w14:paraId="42C5A80F"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Ensuring the quality of education and safeguarding across all schools</w:t>
      </w:r>
    </w:p>
    <w:p w14:paraId="33CD20D7"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Appointing suitably qualified Critical Friends</w:t>
      </w:r>
    </w:p>
    <w:p w14:paraId="5F71A654"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Leading annual review meetings with SLTs</w:t>
      </w:r>
    </w:p>
    <w:p w14:paraId="2606D6A2"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Reviewing and approving School Improvement Plans (SIPs)</w:t>
      </w:r>
    </w:p>
    <w:p w14:paraId="6F64D0D4"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Receiving and managing unresolved complaints or queries</w:t>
      </w:r>
    </w:p>
    <w:p w14:paraId="09AC35E7"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Ensuring alignment with current Ofsted frameworks</w:t>
      </w:r>
    </w:p>
    <w:p w14:paraId="2E9C8D26" w14:textId="77777777" w:rsidR="004E1C35" w:rsidRPr="001D013F" w:rsidRDefault="004E1C35">
      <w:pPr>
        <w:rPr>
          <w:rFonts w:asciiTheme="majorHAnsi" w:hAnsiTheme="majorHAnsi" w:cstheme="majorHAnsi"/>
          <w:sz w:val="28"/>
          <w:szCs w:val="28"/>
        </w:rPr>
      </w:pPr>
    </w:p>
    <w:p w14:paraId="46DFC76A"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lastRenderedPageBreak/>
        <w:t>4. Critical Friends</w:t>
      </w:r>
    </w:p>
    <w:p w14:paraId="11F21AD5"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Purpose: Provide independent, expert evaluation.</w:t>
      </w:r>
    </w:p>
    <w:p w14:paraId="0FFC1162"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Expertise: Safeguarding, Inclusion, Curriculum &amp; Achievement, Attendance, Behaviour.</w:t>
      </w:r>
    </w:p>
    <w:p w14:paraId="54339253"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Process: One full-day visit per school annually, followed by a written report with strengths, areas for improvement, and recommendations.</w:t>
      </w:r>
    </w:p>
    <w:p w14:paraId="59815D0E"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Reports will be reviewed by Managing Directors alongside SLT and actions added to the SIP.</w:t>
      </w:r>
    </w:p>
    <w:p w14:paraId="52DBD94C" w14:textId="77777777" w:rsidR="004E1C35" w:rsidRPr="001D013F" w:rsidRDefault="004E1C35">
      <w:pPr>
        <w:rPr>
          <w:rFonts w:asciiTheme="majorHAnsi" w:hAnsiTheme="majorHAnsi" w:cstheme="majorHAnsi"/>
          <w:sz w:val="28"/>
          <w:szCs w:val="28"/>
        </w:rPr>
      </w:pPr>
    </w:p>
    <w:p w14:paraId="572C1213"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5. External Ofsted-Aligned Review</w:t>
      </w:r>
    </w:p>
    <w:p w14:paraId="50BE3818"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A registered Ofsted Inspector will work with each school to ensure practice reflects the current Ofsted Education Inspection Framework.</w:t>
      </w:r>
    </w:p>
    <w:p w14:paraId="2C7ADEB7" w14:textId="77777777" w:rsidR="004E1C35" w:rsidRPr="001D013F" w:rsidRDefault="004E1C35">
      <w:pPr>
        <w:rPr>
          <w:rFonts w:asciiTheme="majorHAnsi" w:hAnsiTheme="majorHAnsi" w:cstheme="majorHAnsi"/>
          <w:sz w:val="28"/>
          <w:szCs w:val="28"/>
        </w:rPr>
      </w:pPr>
    </w:p>
    <w:p w14:paraId="00BEDED6"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6. SLT Responsibilities</w:t>
      </w:r>
    </w:p>
    <w:p w14:paraId="35776EBE"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SLTs must collaborate openly, provide evidence, respond to feedback, update the SIP, and escalate unresolved matters to the Managing Directors.</w:t>
      </w:r>
    </w:p>
    <w:p w14:paraId="41E02EF0" w14:textId="77777777" w:rsidR="004E1C35" w:rsidRPr="001D013F" w:rsidRDefault="004E1C35">
      <w:pPr>
        <w:rPr>
          <w:rFonts w:asciiTheme="majorHAnsi" w:hAnsiTheme="majorHAnsi" w:cstheme="majorHAnsi"/>
          <w:sz w:val="28"/>
          <w:szCs w:val="28"/>
        </w:rPr>
      </w:pPr>
    </w:p>
    <w:p w14:paraId="5075902B"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7. Parent Voice Representative</w:t>
      </w:r>
    </w:p>
    <w:p w14:paraId="49289970"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lastRenderedPageBreak/>
        <w:t>Appointed annually to gather parental views and provide feedback to the Headteacher.</w:t>
      </w:r>
    </w:p>
    <w:p w14:paraId="35933308" w14:textId="77777777" w:rsidR="004E1C35" w:rsidRPr="001D013F" w:rsidRDefault="004E1C35">
      <w:pPr>
        <w:rPr>
          <w:rFonts w:asciiTheme="majorHAnsi" w:hAnsiTheme="majorHAnsi" w:cstheme="majorHAnsi"/>
          <w:sz w:val="28"/>
          <w:szCs w:val="28"/>
        </w:rPr>
      </w:pPr>
    </w:p>
    <w:p w14:paraId="6B198F79"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8. Complaints and Escalation</w:t>
      </w:r>
    </w:p>
    <w:p w14:paraId="4EA1FF6E" w14:textId="7777777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SLT handles initial complaints. Unresolved matters go to the Managing Directors for investigation and response.</w:t>
      </w:r>
    </w:p>
    <w:p w14:paraId="37D0FD26" w14:textId="77777777" w:rsidR="004E1C35" w:rsidRPr="001D013F" w:rsidRDefault="004E1C35">
      <w:pPr>
        <w:rPr>
          <w:rFonts w:asciiTheme="majorHAnsi" w:hAnsiTheme="majorHAnsi" w:cstheme="majorHAnsi"/>
          <w:sz w:val="28"/>
          <w:szCs w:val="28"/>
        </w:rPr>
      </w:pPr>
    </w:p>
    <w:p w14:paraId="678C5AA4" w14:textId="77777777" w:rsidR="004E1C35" w:rsidRPr="001D013F" w:rsidRDefault="003D34E4">
      <w:pPr>
        <w:rPr>
          <w:rFonts w:asciiTheme="majorHAnsi" w:hAnsiTheme="majorHAnsi" w:cstheme="majorHAnsi"/>
          <w:b/>
          <w:bCs/>
          <w:sz w:val="28"/>
          <w:szCs w:val="28"/>
        </w:rPr>
      </w:pPr>
      <w:r w:rsidRPr="001D013F">
        <w:rPr>
          <w:rFonts w:asciiTheme="majorHAnsi" w:hAnsiTheme="majorHAnsi" w:cstheme="majorHAnsi"/>
          <w:b/>
          <w:bCs/>
          <w:sz w:val="28"/>
          <w:szCs w:val="28"/>
        </w:rPr>
        <w:t>9. Monitoring and Review</w:t>
      </w:r>
    </w:p>
    <w:p w14:paraId="0E7E3C7E" w14:textId="488C12D7" w:rsidR="004E1C35" w:rsidRPr="001D013F" w:rsidRDefault="003D34E4">
      <w:pPr>
        <w:rPr>
          <w:rFonts w:asciiTheme="majorHAnsi" w:hAnsiTheme="majorHAnsi" w:cstheme="majorHAnsi"/>
          <w:sz w:val="28"/>
          <w:szCs w:val="28"/>
        </w:rPr>
      </w:pPr>
      <w:r w:rsidRPr="001D013F">
        <w:rPr>
          <w:rFonts w:asciiTheme="majorHAnsi" w:hAnsiTheme="majorHAnsi" w:cstheme="majorHAnsi"/>
          <w:sz w:val="28"/>
          <w:szCs w:val="28"/>
        </w:rPr>
        <w:t xml:space="preserve">This policy will be reviewed </w:t>
      </w:r>
      <w:r w:rsidR="00521DD7">
        <w:rPr>
          <w:rFonts w:asciiTheme="majorHAnsi" w:hAnsiTheme="majorHAnsi" w:cstheme="majorHAnsi"/>
          <w:sz w:val="28"/>
          <w:szCs w:val="28"/>
        </w:rPr>
        <w:t>every 3 years</w:t>
      </w:r>
      <w:r w:rsidRPr="001D013F">
        <w:rPr>
          <w:rFonts w:asciiTheme="majorHAnsi" w:hAnsiTheme="majorHAnsi" w:cstheme="majorHAnsi"/>
          <w:sz w:val="28"/>
          <w:szCs w:val="28"/>
        </w:rPr>
        <w:t xml:space="preserve"> or earlier if required.</w:t>
      </w:r>
    </w:p>
    <w:p w14:paraId="1BE36B5E" w14:textId="77777777" w:rsidR="004E1C35" w:rsidRDefault="004E1C35"/>
    <w:sectPr w:rsidR="004E1C35" w:rsidSect="00034616">
      <w:headerReference w:type="default" r:id="rId8"/>
      <w:pgSz w:w="15840" w:h="12240"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08F2" w14:textId="77777777" w:rsidR="00B63EB5" w:rsidRDefault="00B63EB5" w:rsidP="001D013F">
      <w:pPr>
        <w:spacing w:after="0" w:line="240" w:lineRule="auto"/>
      </w:pPr>
      <w:r>
        <w:separator/>
      </w:r>
    </w:p>
  </w:endnote>
  <w:endnote w:type="continuationSeparator" w:id="0">
    <w:p w14:paraId="026E72CC" w14:textId="77777777" w:rsidR="00B63EB5" w:rsidRDefault="00B63EB5" w:rsidP="001D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7398" w14:textId="77777777" w:rsidR="00B63EB5" w:rsidRDefault="00B63EB5" w:rsidP="001D013F">
      <w:pPr>
        <w:spacing w:after="0" w:line="240" w:lineRule="auto"/>
      </w:pPr>
      <w:r>
        <w:separator/>
      </w:r>
    </w:p>
  </w:footnote>
  <w:footnote w:type="continuationSeparator" w:id="0">
    <w:p w14:paraId="6C3AD0D8" w14:textId="77777777" w:rsidR="00B63EB5" w:rsidRDefault="00B63EB5" w:rsidP="001D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F944" w14:textId="030FB056" w:rsidR="001D013F" w:rsidRDefault="001D013F" w:rsidP="001D013F">
    <w:pPr>
      <w:pStyle w:val="Header"/>
      <w:jc w:val="right"/>
    </w:pPr>
    <w:r>
      <w:rPr>
        <w:noProof/>
      </w:rPr>
      <w:drawing>
        <wp:inline distT="0" distB="0" distL="0" distR="0" wp14:anchorId="0BEC9628" wp14:editId="71DB4D33">
          <wp:extent cx="1515970" cy="883920"/>
          <wp:effectExtent l="0" t="0" r="8255" b="0"/>
          <wp:docPr id="573717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17376" name="Picture 573717376"/>
                  <pic:cNvPicPr/>
                </pic:nvPicPr>
                <pic:blipFill>
                  <a:blip r:embed="rId1"/>
                  <a:stretch>
                    <a:fillRect/>
                  </a:stretch>
                </pic:blipFill>
                <pic:spPr>
                  <a:xfrm>
                    <a:off x="0" y="0"/>
                    <a:ext cx="1521382" cy="887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3681217">
    <w:abstractNumId w:val="8"/>
  </w:num>
  <w:num w:numId="2" w16cid:durableId="286937655">
    <w:abstractNumId w:val="6"/>
  </w:num>
  <w:num w:numId="3" w16cid:durableId="2140688659">
    <w:abstractNumId w:val="5"/>
  </w:num>
  <w:num w:numId="4" w16cid:durableId="808787486">
    <w:abstractNumId w:val="4"/>
  </w:num>
  <w:num w:numId="5" w16cid:durableId="1882666229">
    <w:abstractNumId w:val="7"/>
  </w:num>
  <w:num w:numId="6" w16cid:durableId="1830630876">
    <w:abstractNumId w:val="3"/>
  </w:num>
  <w:num w:numId="7" w16cid:durableId="1555963369">
    <w:abstractNumId w:val="2"/>
  </w:num>
  <w:num w:numId="8" w16cid:durableId="12847389">
    <w:abstractNumId w:val="1"/>
  </w:num>
  <w:num w:numId="9" w16cid:durableId="214049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763"/>
    <w:rsid w:val="0015074B"/>
    <w:rsid w:val="001D013F"/>
    <w:rsid w:val="0029639D"/>
    <w:rsid w:val="002C5791"/>
    <w:rsid w:val="00326F90"/>
    <w:rsid w:val="003D34E4"/>
    <w:rsid w:val="004E1C35"/>
    <w:rsid w:val="00521DD7"/>
    <w:rsid w:val="006945B4"/>
    <w:rsid w:val="009E55B1"/>
    <w:rsid w:val="00AA1D8D"/>
    <w:rsid w:val="00B47730"/>
    <w:rsid w:val="00B63EB5"/>
    <w:rsid w:val="00CB0664"/>
    <w:rsid w:val="00DF5E29"/>
    <w:rsid w:val="00FA3C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E906C4"/>
  <w14:defaultImageDpi w14:val="300"/>
  <w15:docId w15:val="{71FBCEF1-3FB8-4D73-A487-2A50CAF2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Clayton</cp:lastModifiedBy>
  <cp:revision>2</cp:revision>
  <dcterms:created xsi:type="dcterms:W3CDTF">2026-03-04T15:45:00Z</dcterms:created>
  <dcterms:modified xsi:type="dcterms:W3CDTF">2026-03-04T15:45:00Z</dcterms:modified>
  <cp:category/>
</cp:coreProperties>
</file>